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F1" w:rsidRPr="00B25DA1" w:rsidRDefault="002E78E4" w:rsidP="00592926">
      <w:pPr>
        <w:pStyle w:val="a3"/>
        <w:widowControl/>
        <w:spacing w:beforeAutospacing="0" w:afterAutospacing="0" w:line="512" w:lineRule="atLeast"/>
        <w:jc w:val="center"/>
        <w:rPr>
          <w:rFonts w:ascii="方正小标宋简体" w:eastAsia="方正小标宋简体" w:hAnsi="方正小标宋简体" w:cs="方正小标宋简体"/>
          <w:sz w:val="44"/>
          <w:szCs w:val="44"/>
        </w:rPr>
      </w:pPr>
      <w:bookmarkStart w:id="0" w:name="_GoBack"/>
      <w:proofErr w:type="gramStart"/>
      <w:r w:rsidRPr="00B25DA1">
        <w:rPr>
          <w:rFonts w:ascii="方正小标宋简体" w:eastAsia="方正小标宋简体" w:hAnsi="方正小标宋简体" w:cs="方正小标宋简体"/>
          <w:sz w:val="44"/>
          <w:szCs w:val="44"/>
        </w:rPr>
        <w:t>热招项目</w:t>
      </w:r>
      <w:proofErr w:type="gramEnd"/>
      <w:r w:rsidRPr="00B25DA1">
        <w:rPr>
          <w:rFonts w:ascii="方正小标宋简体" w:eastAsia="方正小标宋简体" w:hAnsi="方正小标宋简体" w:cs="方正小标宋简体" w:hint="eastAsia"/>
          <w:sz w:val="44"/>
          <w:szCs w:val="44"/>
          <w:lang w:eastAsia="zh-Hans"/>
        </w:rPr>
        <w:t>之六</w:t>
      </w:r>
      <w:proofErr w:type="gramStart"/>
      <w:r w:rsidRPr="00B25DA1">
        <w:rPr>
          <w:rFonts w:ascii="方正小标宋简体" w:eastAsia="方正小标宋简体" w:hAnsi="方正小标宋简体" w:cs="方正小标宋简体"/>
          <w:sz w:val="44"/>
          <w:szCs w:val="44"/>
        </w:rPr>
        <w:t>丨</w:t>
      </w:r>
      <w:proofErr w:type="gramEnd"/>
      <w:r w:rsidRPr="00B25DA1">
        <w:rPr>
          <w:rFonts w:ascii="方正小标宋简体" w:eastAsia="方正小标宋简体" w:hAnsi="方正小标宋简体" w:cs="方正小标宋简体"/>
          <w:sz w:val="44"/>
          <w:szCs w:val="44"/>
        </w:rPr>
        <w:t>新时期国有企业治理机制的优化与治理能力提升</w:t>
      </w:r>
      <w:r w:rsidRPr="00B25DA1">
        <w:rPr>
          <w:rFonts w:ascii="方正小标宋简体" w:eastAsia="方正小标宋简体" w:hAnsi="方正小标宋简体" w:cs="方正小标宋简体" w:hint="eastAsia"/>
          <w:sz w:val="44"/>
          <w:szCs w:val="44"/>
          <w:lang w:eastAsia="zh-Hans"/>
        </w:rPr>
        <w:t>培训班</w:t>
      </w:r>
    </w:p>
    <w:bookmarkEnd w:id="0"/>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当前，国企改革已进入深水区，完善公司法人治理结构，优化集团管控制度，建立健全风险内控体系，是国企治理体系和治理能力现代化的重要内容。山东大学人文社科青岛研究院将应各地国资监管部门和国资国企之需，汇聚权威师资和实务教程，以最新政策指导为纲，紧扣改革创新热点，针对新时期国有企业各治理主体的功能与定位，围绕董监高规范履职、内控体系建设、风险控制、内控评价与信息化等关键事项展开授课、研讨和交流。</w:t>
      </w:r>
    </w:p>
    <w:p w:rsidR="003E12F1" w:rsidRPr="00B25DA1" w:rsidRDefault="003E12F1">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p>
    <w:p w:rsidR="003E12F1" w:rsidRPr="00B25DA1" w:rsidRDefault="002E78E4">
      <w:pPr>
        <w:pStyle w:val="a3"/>
        <w:widowControl/>
        <w:spacing w:beforeAutospacing="0" w:afterAutospacing="0"/>
        <w:jc w:val="both"/>
        <w:rPr>
          <w:rStyle w:val="a4"/>
          <w:rFonts w:ascii="楷体_GB2312" w:eastAsia="楷体_GB2312" w:hAnsi="楷体_GB2312" w:cs="楷体_GB2312"/>
          <w:color w:val="222222"/>
          <w:sz w:val="32"/>
          <w:szCs w:val="32"/>
          <w:lang w:eastAsia="zh-Hans"/>
        </w:rPr>
      </w:pPr>
      <w:r w:rsidRPr="00B25DA1">
        <w:rPr>
          <w:rStyle w:val="a4"/>
          <w:rFonts w:ascii="楷体_GB2312" w:eastAsia="楷体_GB2312" w:hAnsi="楷体_GB2312" w:cs="楷体_GB2312" w:hint="eastAsia"/>
          <w:color w:val="222222"/>
          <w:sz w:val="32"/>
          <w:szCs w:val="32"/>
          <w:lang w:eastAsia="zh-Hans"/>
        </w:rPr>
        <w:t>培训对象：</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各级国资委以及政府国企改革办公室相关负责人；中央及地方国有企业董事长（党委书记）、总经理、董事、监事、经理层成员；战略发展部、人力资源部（组织人事部）、法人治理处、企业（综合）管理部、党务、经营管理部绩效／薪酬管理人员、财务人员、劳动关系等相关工作负责人。</w:t>
      </w:r>
    </w:p>
    <w:p w:rsidR="003E12F1" w:rsidRPr="00B25DA1" w:rsidRDefault="002E78E4">
      <w:pPr>
        <w:pStyle w:val="a3"/>
        <w:widowControl/>
        <w:spacing w:beforeAutospacing="0" w:afterAutospacing="0"/>
        <w:jc w:val="both"/>
        <w:rPr>
          <w:rStyle w:val="a4"/>
          <w:rFonts w:ascii="楷体_GB2312" w:eastAsia="楷体_GB2312" w:hAnsi="楷体_GB2312" w:cs="楷体_GB2312"/>
          <w:color w:val="222222"/>
          <w:sz w:val="32"/>
          <w:szCs w:val="32"/>
          <w:lang w:eastAsia="zh-Hans"/>
        </w:rPr>
      </w:pPr>
      <w:r w:rsidRPr="00B25DA1">
        <w:rPr>
          <w:rStyle w:val="a4"/>
          <w:rFonts w:ascii="楷体_GB2312" w:eastAsia="楷体_GB2312" w:hAnsi="楷体_GB2312" w:cs="楷体_GB2312" w:hint="eastAsia"/>
          <w:color w:val="222222"/>
          <w:sz w:val="32"/>
          <w:szCs w:val="32"/>
          <w:lang w:eastAsia="zh-Hans"/>
        </w:rPr>
        <w:t>培训</w:t>
      </w:r>
      <w:r w:rsidRPr="00B25DA1">
        <w:rPr>
          <w:rStyle w:val="a4"/>
          <w:rFonts w:ascii="楷体_GB2312" w:eastAsia="楷体_GB2312" w:hAnsi="楷体_GB2312" w:cs="楷体_GB2312"/>
          <w:color w:val="222222"/>
          <w:sz w:val="32"/>
          <w:szCs w:val="32"/>
          <w:lang w:eastAsia="zh-Hans"/>
        </w:rPr>
        <w:t>内容</w:t>
      </w:r>
      <w:r w:rsidRPr="00B25DA1">
        <w:rPr>
          <w:rStyle w:val="a4"/>
          <w:rFonts w:ascii="楷体_GB2312" w:eastAsia="楷体_GB2312" w:hAnsi="楷体_GB2312" w:cs="楷体_GB2312" w:hint="eastAsia"/>
          <w:color w:val="222222"/>
          <w:sz w:val="32"/>
          <w:szCs w:val="32"/>
          <w:lang w:eastAsia="zh-Hans"/>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01</w:t>
      </w:r>
      <w:r w:rsidRPr="00B25DA1">
        <w:rPr>
          <w:rFonts w:ascii="仿宋_GB2312" w:eastAsia="仿宋_GB2312" w:hAnsi="仿宋_GB2312" w:cs="仿宋_GB2312" w:hint="eastAsia"/>
          <w:b/>
          <w:bCs/>
          <w:color w:val="222222"/>
          <w:sz w:val="32"/>
          <w:szCs w:val="32"/>
          <w:lang w:eastAsia="zh-Hans"/>
        </w:rPr>
        <w:t>国资国企改革背景下公司治理与集团管控体系建设</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25DA1">
        <w:rPr>
          <w:rFonts w:ascii="仿宋_GB2312" w:eastAsia="仿宋_GB2312" w:hAnsi="仿宋_GB2312" w:cs="仿宋_GB2312"/>
          <w:color w:val="222222"/>
          <w:sz w:val="32"/>
          <w:szCs w:val="32"/>
          <w:lang w:eastAsia="zh-Hans"/>
        </w:rPr>
        <w:t>1</w:t>
      </w:r>
      <w:r w:rsidRPr="00B25DA1">
        <w:rPr>
          <w:rFonts w:ascii="仿宋_GB2312" w:eastAsia="仿宋_GB2312" w:hAnsi="仿宋_GB2312" w:cs="仿宋_GB2312" w:hint="eastAsia"/>
          <w:color w:val="222222"/>
          <w:sz w:val="32"/>
          <w:szCs w:val="32"/>
          <w:lang w:eastAsia="zh-Hans"/>
        </w:rPr>
        <w:t>.国资国企改革三年行动相关政策依据、要点和最新趋势解读</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lastRenderedPageBreak/>
        <w:t>2</w:t>
      </w:r>
      <w:r w:rsidRPr="00B25DA1">
        <w:rPr>
          <w:rFonts w:ascii="仿宋_GB2312" w:eastAsia="仿宋_GB2312" w:hAnsi="仿宋_GB2312" w:cs="仿宋_GB2312" w:hint="eastAsia"/>
          <w:color w:val="222222"/>
          <w:sz w:val="32"/>
          <w:szCs w:val="32"/>
          <w:lang w:eastAsia="zh-Hans"/>
        </w:rPr>
        <w:t>.国资国企改革背景下国有企业发展态势及企业管理创新思维</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3</w:t>
      </w:r>
      <w:r w:rsidRPr="00B25DA1">
        <w:rPr>
          <w:rFonts w:ascii="仿宋_GB2312" w:eastAsia="仿宋_GB2312" w:hAnsi="仿宋_GB2312" w:cs="仿宋_GB2312" w:hint="eastAsia"/>
          <w:color w:val="222222"/>
          <w:sz w:val="32"/>
          <w:szCs w:val="32"/>
          <w:lang w:eastAsia="zh-Hans"/>
        </w:rPr>
        <w:t>.以管资本为主的国资监管体制与集团管控的转型与变革</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3</w:t>
      </w:r>
      <w:r w:rsidRPr="00B25DA1">
        <w:rPr>
          <w:rFonts w:ascii="仿宋_GB2312" w:eastAsia="仿宋_GB2312" w:hAnsi="仿宋_GB2312" w:cs="仿宋_GB2312" w:hint="eastAsia"/>
          <w:color w:val="222222"/>
          <w:sz w:val="32"/>
          <w:szCs w:val="32"/>
          <w:lang w:eastAsia="zh-Hans"/>
        </w:rPr>
        <w:t>.如何理解公司治理与集团管控是培育世界一流企业关键成功要素</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4</w:t>
      </w:r>
      <w:r w:rsidRPr="00B25DA1">
        <w:rPr>
          <w:rFonts w:ascii="仿宋_GB2312" w:eastAsia="仿宋_GB2312" w:hAnsi="仿宋_GB2312" w:cs="仿宋_GB2312" w:hint="eastAsia"/>
          <w:color w:val="222222"/>
          <w:sz w:val="32"/>
          <w:szCs w:val="32"/>
          <w:lang w:eastAsia="zh-Hans"/>
        </w:rPr>
        <w:t>.集团管控体系的构成要素与集团管控核心问题</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5</w:t>
      </w:r>
      <w:r w:rsidRPr="00B25DA1">
        <w:rPr>
          <w:rFonts w:ascii="仿宋_GB2312" w:eastAsia="仿宋_GB2312" w:hAnsi="仿宋_GB2312" w:cs="仿宋_GB2312" w:hint="eastAsia"/>
          <w:color w:val="222222"/>
          <w:sz w:val="32"/>
          <w:szCs w:val="32"/>
          <w:lang w:eastAsia="zh-Hans"/>
        </w:rPr>
        <w:t>.集团管控主要模式及风险管理</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6</w:t>
      </w:r>
      <w:r w:rsidRPr="00B25DA1">
        <w:rPr>
          <w:rFonts w:ascii="仿宋_GB2312" w:eastAsia="仿宋_GB2312" w:hAnsi="仿宋_GB2312" w:cs="仿宋_GB2312" w:hint="eastAsia"/>
          <w:color w:val="222222"/>
          <w:sz w:val="32"/>
          <w:szCs w:val="32"/>
          <w:lang w:eastAsia="zh-Hans"/>
        </w:rPr>
        <w:t>.集团总部价值创造与组织功能职能定位分析</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7</w:t>
      </w:r>
      <w:r w:rsidRPr="00B25DA1">
        <w:rPr>
          <w:rFonts w:ascii="仿宋_GB2312" w:eastAsia="仿宋_GB2312" w:hAnsi="仿宋_GB2312" w:cs="仿宋_GB2312" w:hint="eastAsia"/>
          <w:color w:val="222222"/>
          <w:sz w:val="32"/>
          <w:szCs w:val="32"/>
          <w:lang w:eastAsia="zh-Hans"/>
        </w:rPr>
        <w:t>.治理模式设计，即母子</w:t>
      </w:r>
      <w:r w:rsidR="009877B4">
        <w:rPr>
          <w:rFonts w:ascii="仿宋_GB2312" w:eastAsia="仿宋_GB2312" w:hAnsi="仿宋_GB2312" w:cs="仿宋_GB2312" w:hint="eastAsia"/>
          <w:color w:val="222222"/>
          <w:sz w:val="32"/>
          <w:szCs w:val="32"/>
        </w:rPr>
        <w:t>公司</w:t>
      </w:r>
      <w:r w:rsidRPr="00B25DA1">
        <w:rPr>
          <w:rFonts w:ascii="仿宋_GB2312" w:eastAsia="仿宋_GB2312" w:hAnsi="仿宋_GB2312" w:cs="仿宋_GB2312" w:hint="eastAsia"/>
          <w:color w:val="222222"/>
          <w:sz w:val="32"/>
          <w:szCs w:val="32"/>
          <w:lang w:eastAsia="zh-Hans"/>
        </w:rPr>
        <w:t>治理设计的基本准则与指导思想</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8</w:t>
      </w:r>
      <w:r w:rsidRPr="00B25DA1">
        <w:rPr>
          <w:rFonts w:ascii="仿宋_GB2312" w:eastAsia="仿宋_GB2312" w:hAnsi="仿宋_GB2312" w:cs="仿宋_GB2312" w:hint="eastAsia"/>
          <w:color w:val="222222"/>
          <w:sz w:val="32"/>
          <w:szCs w:val="32"/>
          <w:lang w:eastAsia="zh-Hans"/>
        </w:rPr>
        <w:t>.管控准则与边界划分的具体路径，即战略管控、财务管控、人力资源、品牌管控、法律和文化等管控子功能运行原则</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color w:val="222222"/>
          <w:sz w:val="32"/>
          <w:szCs w:val="32"/>
          <w:lang w:eastAsia="zh-Hans"/>
        </w:rPr>
        <w:t>9.</w:t>
      </w:r>
      <w:r w:rsidRPr="00B25DA1">
        <w:rPr>
          <w:rFonts w:ascii="仿宋_GB2312" w:eastAsia="仿宋_GB2312" w:hAnsi="仿宋_GB2312" w:cs="仿宋_GB2312" w:hint="eastAsia"/>
          <w:color w:val="222222"/>
          <w:sz w:val="32"/>
          <w:szCs w:val="32"/>
          <w:lang w:eastAsia="zh-Hans"/>
        </w:rPr>
        <w:t>如何有效选择、设计实行集团、子企业或集团、事业部、子企业的管控架构以及各自管理权责</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02</w:t>
      </w:r>
      <w:r w:rsidRPr="00B25DA1">
        <w:rPr>
          <w:rFonts w:ascii="仿宋_GB2312" w:eastAsia="仿宋_GB2312" w:hAnsi="仿宋_GB2312" w:cs="仿宋_GB2312" w:hint="eastAsia"/>
          <w:b/>
          <w:bCs/>
          <w:color w:val="222222"/>
          <w:sz w:val="32"/>
          <w:szCs w:val="32"/>
          <w:lang w:eastAsia="zh-Hans"/>
        </w:rPr>
        <w:t>公司治理理论与治理机制</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1.公司治理理论与管理体系、治理理论与治理机制</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2.公司治理机制：内外部机制（有效公司治理机制的设计原则和企业竞争力；跨国公司的治理；内部制衡机制与激励约束机制；管理控制机制、年报制作与信息披露机制等外部监管机制）</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lastRenderedPageBreak/>
        <w:t>3.公司治理与管理的比较：国有企业改革、公司治理失灵的根本原因与董事会治理的意义</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4.中国公司治理与国有企业治理现状（公司治理评价原则与评价方法、典型模式）</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5.如何推动国企完善现代企业制度有效制衡的法人治理结构</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6.国有企业的法人治理结构变革与市场化经营</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7.国有企业与混合所有制企业、外资企业公司治理机制</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8.中国上市公司治理现状（国企混改、资本市场对公司治理的要求）</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9.如何加强党建工作与优化公司治理体系及中共中央办公厅印发《关于中央企业在完善公司治理中加强党的领导的意见》重要精神解读</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03</w:t>
      </w:r>
      <w:r w:rsidRPr="00B25DA1">
        <w:rPr>
          <w:rFonts w:ascii="仿宋_GB2312" w:eastAsia="仿宋_GB2312" w:hAnsi="仿宋_GB2312" w:cs="仿宋_GB2312" w:hint="eastAsia"/>
          <w:b/>
          <w:bCs/>
          <w:color w:val="222222"/>
          <w:sz w:val="32"/>
          <w:szCs w:val="32"/>
          <w:lang w:eastAsia="zh-Hans"/>
        </w:rPr>
        <w:t>股权结构、股东会与国有资本治理</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1.股权结构与公司治理及案例分析</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2.不同股权结构下治理模式选择及机制设计</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3.股东权利、股东会、利益相关者治理及案例分析</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04</w:t>
      </w:r>
      <w:r w:rsidRPr="00B25DA1">
        <w:rPr>
          <w:rFonts w:ascii="仿宋_GB2312" w:eastAsia="仿宋_GB2312" w:hAnsi="仿宋_GB2312" w:cs="仿宋_GB2312" w:hint="eastAsia"/>
          <w:b/>
          <w:bCs/>
          <w:color w:val="222222"/>
          <w:sz w:val="32"/>
          <w:szCs w:val="32"/>
          <w:lang w:eastAsia="zh-Hans"/>
        </w:rPr>
        <w:t>董事会构建、任期、议事规则与治理管控</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1.国有企业改革公司治理与董事会治理意义</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2.法律实施中董事和董事会概念</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3.董事会角色、任务及参与程度</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4.董事会构建：执行董事、非执行董事和独立董事</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lastRenderedPageBreak/>
        <w:t>5.董事任职与契约化管理：董事成员任职资格与选聘，董事工作职责改变、任期限制</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6.独立董事制度、董事会专门委员会；董事会议事规则与案例分析</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7.如何有效发挥董事会决策会议功能</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8.如何发挥董事会战略质询功能</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9.子公司的治理结构如何运作？案例分析</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10.董事会类型、“问题”董事的类型；董事的5大知识结构</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11.董事会运作流程</w:t>
      </w:r>
      <w:r w:rsidR="008D7DC9">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05</w:t>
      </w:r>
      <w:r w:rsidRPr="00B25DA1">
        <w:rPr>
          <w:rFonts w:ascii="仿宋_GB2312" w:eastAsia="仿宋_GB2312" w:hAnsi="仿宋_GB2312" w:cs="仿宋_GB2312" w:hint="eastAsia"/>
          <w:b/>
          <w:bCs/>
          <w:color w:val="222222"/>
          <w:sz w:val="32"/>
          <w:szCs w:val="32"/>
          <w:lang w:eastAsia="zh-Hans"/>
        </w:rPr>
        <w:t>董事会建设与绩效评估</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1.政策制定和预见；</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2.管理层监督，风险如何控制；</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3.董事会三大构建模块：团队活力；信息结构——信息渠道（董事会简报、管理层信件、职员调查、董事外访、委员会报告）；对实质问题的关注——十大问题表格自我诊断（问卷）；</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4.董事个人如何履行职责？董事会秘书履职工作细则与能力；</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5.董事会建设：董事会建设的四个阶段、如何建设和改造？ 如何引进高层“空降兵”</w:t>
      </w:r>
      <w:r w:rsidR="00A927C6">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lastRenderedPageBreak/>
        <w:t>6.董事会和董事的开发、绩效评估、履职评价与能力提升</w:t>
      </w:r>
      <w:r w:rsidR="00A927C6">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06</w:t>
      </w:r>
      <w:r w:rsidRPr="00B25DA1">
        <w:rPr>
          <w:rFonts w:ascii="仿宋_GB2312" w:eastAsia="仿宋_GB2312" w:hAnsi="仿宋_GB2312" w:cs="仿宋_GB2312" w:hint="eastAsia"/>
          <w:b/>
          <w:bCs/>
          <w:color w:val="222222"/>
          <w:sz w:val="32"/>
          <w:szCs w:val="32"/>
          <w:lang w:eastAsia="zh-Hans"/>
        </w:rPr>
        <w:t>监事会设置与运作、监事职责、绩效评估</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1.监事会的职能与设置组成差异；</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2.监事会会议的召开、表决等议事规则；</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3.监事职权、行为规范及义务（上市公司）；</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4.我国公司治理制度中监事会的功能定位；</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5.如何强化监事会的监督作用；</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6.监事会和监事的开发、绩效评估、履职评价与能力提升</w:t>
      </w:r>
      <w:r w:rsidR="00A927C6">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B25DA1">
        <w:rPr>
          <w:rFonts w:ascii="仿宋_GB2312" w:eastAsia="仿宋_GB2312" w:hAnsi="仿宋_GB2312" w:cs="仿宋_GB2312"/>
          <w:b/>
          <w:bCs/>
          <w:color w:val="222222"/>
          <w:sz w:val="32"/>
          <w:szCs w:val="32"/>
          <w:lang w:eastAsia="zh-Hans"/>
        </w:rPr>
        <w:t>07</w:t>
      </w:r>
      <w:r w:rsidRPr="00B25DA1">
        <w:rPr>
          <w:rFonts w:ascii="仿宋_GB2312" w:eastAsia="仿宋_GB2312" w:hAnsi="仿宋_GB2312" w:cs="仿宋_GB2312" w:hint="eastAsia"/>
          <w:b/>
          <w:bCs/>
          <w:color w:val="222222"/>
          <w:sz w:val="32"/>
          <w:szCs w:val="32"/>
          <w:lang w:eastAsia="zh-Hans"/>
        </w:rPr>
        <w:t>董事监事履职能力提升、内部控制与风险管理</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1.董事、监事履职能力要求与属性、公司经营方针和投资计划决策；</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2.内部管理机构设置、基本管理制度制定、年度预算制定；</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3.董事对董事会的决议承担的责任履职能力；</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4.董事战略管理分析工具、企业融资四大模式、顶层设计、国内科创板上市与中小板或创业板IPO决策；</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5.董事、监事、经理禁止行为、监事行使职权、投资决策资本理念；</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6.商业模式六大要素、国企主要投资风险识别；</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lastRenderedPageBreak/>
        <w:t>7.投资分析能力提升：</w:t>
      </w:r>
      <w:r w:rsidRPr="00B25DA1">
        <w:rPr>
          <w:rFonts w:ascii="仿宋_GB2312" w:eastAsia="仿宋_GB2312" w:hAnsi="仿宋_GB2312" w:cs="仿宋_GB2312" w:hint="eastAsia"/>
          <w:color w:val="222222"/>
          <w:sz w:val="32"/>
          <w:szCs w:val="32"/>
        </w:rPr>
        <w:t>党的</w:t>
      </w:r>
      <w:r w:rsidRPr="00B25DA1">
        <w:rPr>
          <w:rFonts w:ascii="仿宋_GB2312" w:eastAsia="仿宋_GB2312" w:hAnsi="仿宋_GB2312" w:cs="仿宋_GB2312" w:hint="eastAsia"/>
          <w:color w:val="222222"/>
          <w:sz w:val="32"/>
          <w:szCs w:val="32"/>
          <w:lang w:eastAsia="zh-Hans"/>
        </w:rPr>
        <w:t>十九大后的电子集息产业产融结合的产业链路径、发展路径与并购策略、企业投资、并购、重组流程、策略与交易方案设计等；</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8.企业风险管理体系构建，监事、审计体系与财务管控的协同</w:t>
      </w:r>
      <w:r w:rsidR="00A927C6">
        <w:rPr>
          <w:rFonts w:ascii="仿宋_GB2312" w:eastAsia="仿宋_GB2312" w:hAnsi="仿宋_GB2312" w:cs="仿宋_GB2312" w:hint="eastAsia"/>
          <w:color w:val="222222"/>
          <w:sz w:val="32"/>
          <w:szCs w:val="32"/>
        </w:rPr>
        <w:t>；</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9.企业风险管理框架、关联交易问题的管理与风险管理实践、改善国有企业的公司治理建议；</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10.结合公司情况，外派董事如何履行公司治理职责？</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11.结合公司情况，外派总经理、副总经理（非董事、监事，高管）如何履行公司治理职责</w:t>
      </w:r>
      <w:r w:rsidR="00A927C6">
        <w:rPr>
          <w:rFonts w:ascii="仿宋_GB2312" w:eastAsia="仿宋_GB2312" w:hAnsi="仿宋_GB2312" w:cs="仿宋_GB2312" w:hint="eastAsia"/>
          <w:color w:val="222222"/>
          <w:sz w:val="32"/>
          <w:szCs w:val="32"/>
        </w:rPr>
        <w:t>。</w:t>
      </w:r>
    </w:p>
    <w:p w:rsidR="003E12F1" w:rsidRPr="00B25DA1" w:rsidRDefault="003E12F1">
      <w:pPr>
        <w:pStyle w:val="a3"/>
        <w:widowControl/>
        <w:spacing w:beforeAutospacing="0" w:afterAutospacing="0"/>
        <w:jc w:val="both"/>
        <w:rPr>
          <w:rStyle w:val="a4"/>
          <w:rFonts w:ascii="楷体_GB2312" w:eastAsia="楷体_GB2312" w:hAnsi="楷体_GB2312" w:cs="楷体_GB2312"/>
          <w:color w:val="222222"/>
          <w:sz w:val="32"/>
          <w:szCs w:val="32"/>
          <w:lang w:eastAsia="zh-Hans"/>
        </w:rPr>
      </w:pPr>
    </w:p>
    <w:p w:rsidR="003E12F1" w:rsidRPr="00B25DA1" w:rsidRDefault="002E78E4">
      <w:pPr>
        <w:pStyle w:val="a3"/>
        <w:widowControl/>
        <w:spacing w:beforeAutospacing="0" w:afterAutospacing="0"/>
        <w:jc w:val="both"/>
        <w:rPr>
          <w:rStyle w:val="a4"/>
          <w:rFonts w:ascii="楷体_GB2312" w:eastAsia="楷体_GB2312" w:hAnsi="楷体_GB2312" w:cs="楷体_GB2312"/>
          <w:color w:val="222222"/>
          <w:sz w:val="32"/>
          <w:szCs w:val="32"/>
        </w:rPr>
      </w:pPr>
      <w:r w:rsidRPr="00B25DA1">
        <w:rPr>
          <w:rStyle w:val="a4"/>
          <w:rFonts w:ascii="楷体_GB2312" w:eastAsia="楷体_GB2312" w:hAnsi="楷体_GB2312" w:cs="楷体_GB2312" w:hint="eastAsia"/>
          <w:color w:val="222222"/>
          <w:sz w:val="32"/>
          <w:szCs w:val="32"/>
          <w:lang w:eastAsia="zh-Hans"/>
        </w:rPr>
        <w:t>课程亮点：</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山东大学</w:t>
      </w:r>
      <w:r w:rsidRPr="00B25DA1">
        <w:rPr>
          <w:rFonts w:ascii="仿宋_GB2312" w:eastAsia="仿宋_GB2312" w:hAnsi="仿宋_GB2312" w:cs="仿宋_GB2312" w:hint="eastAsia"/>
          <w:color w:val="222222"/>
          <w:sz w:val="32"/>
          <w:szCs w:val="32"/>
        </w:rPr>
        <w:t>人文社科青岛研究院拟邀请相关部委、经体改、财科院等国企改革研究领域</w:t>
      </w:r>
      <w:r w:rsidRPr="00B25DA1">
        <w:rPr>
          <w:rFonts w:ascii="仿宋_GB2312" w:eastAsia="仿宋_GB2312" w:hAnsi="仿宋_GB2312" w:cs="仿宋_GB2312" w:hint="eastAsia"/>
          <w:color w:val="222222"/>
          <w:sz w:val="32"/>
          <w:szCs w:val="32"/>
          <w:lang w:eastAsia="zh-Hans"/>
        </w:rPr>
        <w:t>知名</w:t>
      </w:r>
      <w:r w:rsidRPr="00B25DA1">
        <w:rPr>
          <w:rFonts w:ascii="仿宋_GB2312" w:eastAsia="仿宋_GB2312" w:hAnsi="仿宋_GB2312" w:cs="仿宋_GB2312" w:hint="eastAsia"/>
          <w:color w:val="222222"/>
          <w:sz w:val="32"/>
          <w:szCs w:val="32"/>
        </w:rPr>
        <w:t>专家授课。结合典型案例和实例分析，组织交流与研讨。</w:t>
      </w:r>
    </w:p>
    <w:p w:rsidR="003E12F1" w:rsidRPr="00B25DA1" w:rsidRDefault="002E78E4">
      <w:pPr>
        <w:pStyle w:val="a3"/>
        <w:widowControl/>
        <w:spacing w:beforeAutospacing="0" w:afterAutospacing="0" w:line="792" w:lineRule="atLeast"/>
        <w:jc w:val="both"/>
        <w:rPr>
          <w:rStyle w:val="a4"/>
          <w:rFonts w:ascii="楷体_GB2312" w:eastAsia="楷体_GB2312" w:hAnsi="楷体_GB2312" w:cs="楷体_GB2312"/>
          <w:color w:val="222222"/>
          <w:sz w:val="32"/>
          <w:szCs w:val="32"/>
          <w:lang w:eastAsia="zh-Hans"/>
        </w:rPr>
      </w:pPr>
      <w:r w:rsidRPr="00B25DA1">
        <w:rPr>
          <w:rStyle w:val="a4"/>
          <w:rFonts w:ascii="楷体_GB2312" w:eastAsia="楷体_GB2312" w:hAnsi="楷体_GB2312" w:cs="楷体_GB2312" w:hint="eastAsia"/>
          <w:color w:val="222222"/>
          <w:sz w:val="32"/>
          <w:szCs w:val="32"/>
          <w:lang w:eastAsia="zh-Hans"/>
        </w:rPr>
        <w:t>联系方式：</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B25DA1">
        <w:rPr>
          <w:rFonts w:ascii="仿宋_GB2312" w:eastAsia="仿宋_GB2312" w:hAnsi="仿宋_GB2312" w:cs="仿宋_GB2312" w:hint="eastAsia"/>
          <w:color w:val="222222"/>
          <w:sz w:val="32"/>
          <w:szCs w:val="32"/>
          <w:lang w:eastAsia="zh-Hans"/>
        </w:rPr>
        <w:t>山东大学人文社科青岛研究院</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25DA1">
        <w:rPr>
          <w:rFonts w:ascii="仿宋_GB2312" w:eastAsia="仿宋_GB2312" w:hAnsi="仿宋_GB2312" w:cs="仿宋_GB2312" w:hint="eastAsia"/>
          <w:color w:val="222222"/>
          <w:sz w:val="32"/>
          <w:szCs w:val="32"/>
          <w:lang w:eastAsia="zh-Hans"/>
        </w:rPr>
        <w:t>迟</w:t>
      </w:r>
      <w:r w:rsidRPr="00B25DA1">
        <w:rPr>
          <w:rFonts w:ascii="仿宋_GB2312" w:eastAsia="仿宋_GB2312" w:hAnsi="仿宋_GB2312" w:cs="仿宋_GB2312" w:hint="eastAsia"/>
          <w:color w:val="222222"/>
          <w:sz w:val="32"/>
          <w:szCs w:val="32"/>
        </w:rPr>
        <w:t>老师：15069182112</w:t>
      </w:r>
    </w:p>
    <w:p w:rsidR="003E12F1" w:rsidRPr="00B25DA1" w:rsidRDefault="002E78E4">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B25DA1">
        <w:rPr>
          <w:rFonts w:ascii="仿宋_GB2312" w:eastAsia="仿宋_GB2312" w:hAnsi="仿宋_GB2312" w:cs="仿宋_GB2312" w:hint="eastAsia"/>
          <w:color w:val="222222"/>
          <w:sz w:val="32"/>
          <w:szCs w:val="32"/>
          <w:lang w:eastAsia="zh-Hans"/>
        </w:rPr>
        <w:t>李</w:t>
      </w:r>
      <w:r w:rsidRPr="00B25DA1">
        <w:rPr>
          <w:rFonts w:ascii="仿宋_GB2312" w:eastAsia="仿宋_GB2312" w:hAnsi="仿宋_GB2312" w:cs="仿宋_GB2312" w:hint="eastAsia"/>
          <w:color w:val="222222"/>
          <w:sz w:val="32"/>
          <w:szCs w:val="32"/>
        </w:rPr>
        <w:t>老师：18100381823</w:t>
      </w:r>
    </w:p>
    <w:p w:rsidR="003E12F1" w:rsidRPr="00B25DA1" w:rsidRDefault="003E12F1"/>
    <w:sectPr w:rsidR="003E12F1" w:rsidRPr="00B25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default"/>
    <w:sig w:usb0="00000000" w:usb1="00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0NmYxZGNkZGRiYTc4MWY5ZjNmZjgzMmVmMjhjMzMifQ=="/>
  </w:docVars>
  <w:rsids>
    <w:rsidRoot w:val="77D84E99"/>
    <w:rsid w:val="00005917"/>
    <w:rsid w:val="002E78E4"/>
    <w:rsid w:val="003E12F1"/>
    <w:rsid w:val="004029EC"/>
    <w:rsid w:val="00592926"/>
    <w:rsid w:val="008D7DC9"/>
    <w:rsid w:val="00957077"/>
    <w:rsid w:val="009877B4"/>
    <w:rsid w:val="00A927C6"/>
    <w:rsid w:val="00AC4686"/>
    <w:rsid w:val="00B25DA1"/>
    <w:rsid w:val="00DE7D04"/>
    <w:rsid w:val="00F614CA"/>
    <w:rsid w:val="77D8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7CB867-2E63-4064-AE1F-414BB11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a5">
    <w:name w:val="常用样式（方正仿宋简）"/>
    <w:basedOn w:val="a"/>
    <w:qFormat/>
    <w:pPr>
      <w:spacing w:line="560" w:lineRule="exact"/>
      <w:ind w:firstLineChars="200" w:firstLine="640"/>
    </w:pPr>
    <w:rPr>
      <w:rFonts w:eastAsia="方正仿宋简体"/>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人文社科</cp:lastModifiedBy>
  <cp:revision>6</cp:revision>
  <dcterms:created xsi:type="dcterms:W3CDTF">2022-05-29T05:44:00Z</dcterms:created>
  <dcterms:modified xsi:type="dcterms:W3CDTF">2022-06-13T08:53:00Z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639102446F5D4DBDA4051DFC890EBCAB</vt:lpwstr>
  </property>
</Properties>
</file>